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z w:val="24"/>
          <w:szCs w:val="24"/>
          <w:lang w:eastAsia="zh-CN"/>
        </w:rPr>
        <w:t>2026年6月17日9:00至10:00止（延时除外）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5079" w:type="pct"/>
        <w:tblInd w:w="0" w:type="dxa"/>
        <w:tblLayout w:type="fixed"/>
        <w:tblCellMar>
          <w:top w:w="0" w:type="dxa"/>
          <w:left w:w="108" w:type="dxa"/>
          <w:bottom w:w="0" w:type="dxa"/>
          <w:right w:w="108" w:type="dxa"/>
        </w:tblCellMar>
      </w:tblPr>
      <w:tblGrid>
        <w:gridCol w:w="931"/>
        <w:gridCol w:w="1962"/>
        <w:gridCol w:w="1033"/>
        <w:gridCol w:w="1217"/>
        <w:gridCol w:w="1444"/>
        <w:gridCol w:w="1261"/>
        <w:gridCol w:w="882"/>
        <w:gridCol w:w="1390"/>
      </w:tblGrid>
      <w:tr w14:paraId="019349BA">
        <w:tblPrEx>
          <w:tblCellMar>
            <w:top w:w="0" w:type="dxa"/>
            <w:left w:w="108" w:type="dxa"/>
            <w:bottom w:w="0" w:type="dxa"/>
            <w:right w:w="108" w:type="dxa"/>
          </w:tblCellMar>
        </w:tblPrEx>
        <w:trPr>
          <w:trHeight w:val="663" w:hRule="atLeast"/>
        </w:trPr>
        <w:tc>
          <w:tcPr>
            <w:tcW w:w="460" w:type="pct"/>
            <w:tcBorders>
              <w:top w:val="single" w:color="auto" w:sz="4" w:space="0"/>
              <w:left w:val="single" w:color="auto" w:sz="4" w:space="0"/>
              <w:bottom w:val="single" w:color="auto" w:sz="4" w:space="0"/>
              <w:right w:val="single" w:color="auto" w:sz="4" w:space="0"/>
            </w:tcBorders>
            <w:noWrap w:val="0"/>
            <w:vAlign w:val="center"/>
          </w:tcPr>
          <w:p w14:paraId="51443D1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969" w:type="pct"/>
            <w:tcBorders>
              <w:top w:val="single" w:color="auto" w:sz="4" w:space="0"/>
              <w:left w:val="nil"/>
              <w:bottom w:val="single" w:color="auto" w:sz="4" w:space="0"/>
              <w:right w:val="single" w:color="auto" w:sz="4" w:space="0"/>
            </w:tcBorders>
            <w:noWrap w:val="0"/>
            <w:vAlign w:val="center"/>
          </w:tcPr>
          <w:p w14:paraId="717E010D">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09" w:type="pct"/>
            <w:tcBorders>
              <w:top w:val="single" w:color="auto" w:sz="4" w:space="0"/>
              <w:left w:val="nil"/>
              <w:bottom w:val="single" w:color="auto" w:sz="4" w:space="0"/>
              <w:right w:val="single" w:color="auto" w:sz="4" w:space="0"/>
            </w:tcBorders>
            <w:noWrap w:val="0"/>
            <w:vAlign w:val="center"/>
          </w:tcPr>
          <w:p w14:paraId="36BB8F68">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用途</w:t>
            </w:r>
          </w:p>
        </w:tc>
        <w:tc>
          <w:tcPr>
            <w:tcW w:w="601" w:type="pct"/>
            <w:tcBorders>
              <w:top w:val="single" w:color="auto" w:sz="4" w:space="0"/>
              <w:left w:val="nil"/>
              <w:bottom w:val="single" w:color="auto" w:sz="4" w:space="0"/>
              <w:right w:val="single" w:color="auto" w:sz="4" w:space="0"/>
            </w:tcBorders>
            <w:noWrap w:val="0"/>
            <w:vAlign w:val="center"/>
          </w:tcPr>
          <w:p w14:paraId="30C98D4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面积（平方米）</w:t>
            </w:r>
          </w:p>
        </w:tc>
        <w:tc>
          <w:tcPr>
            <w:tcW w:w="713" w:type="pct"/>
            <w:tcBorders>
              <w:top w:val="single" w:color="auto" w:sz="4" w:space="0"/>
              <w:left w:val="nil"/>
              <w:bottom w:val="single" w:color="auto" w:sz="4" w:space="0"/>
              <w:right w:val="single" w:color="auto" w:sz="4" w:space="0"/>
            </w:tcBorders>
            <w:noWrap w:val="0"/>
            <w:vAlign w:val="center"/>
          </w:tcPr>
          <w:p w14:paraId="0EB89051">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623" w:type="pct"/>
            <w:tcBorders>
              <w:top w:val="single" w:color="auto" w:sz="4" w:space="0"/>
              <w:left w:val="nil"/>
              <w:bottom w:val="single" w:color="auto" w:sz="4" w:space="0"/>
              <w:right w:val="single" w:color="auto" w:sz="4" w:space="0"/>
            </w:tcBorders>
            <w:noWrap w:val="0"/>
            <w:vAlign w:val="center"/>
          </w:tcPr>
          <w:p w14:paraId="7102E69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35" w:type="pct"/>
            <w:tcBorders>
              <w:top w:val="single" w:color="auto" w:sz="4" w:space="0"/>
              <w:left w:val="nil"/>
              <w:bottom w:val="single" w:color="auto" w:sz="4" w:space="0"/>
              <w:right w:val="single" w:color="auto" w:sz="4" w:space="0"/>
            </w:tcBorders>
            <w:noWrap/>
            <w:vAlign w:val="center"/>
          </w:tcPr>
          <w:p w14:paraId="01F49F5E">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c>
          <w:tcPr>
            <w:tcW w:w="686" w:type="pct"/>
            <w:tcBorders>
              <w:top w:val="single" w:color="auto" w:sz="4" w:space="0"/>
              <w:left w:val="nil"/>
              <w:bottom w:val="single" w:color="auto" w:sz="4" w:space="0"/>
              <w:right w:val="single" w:color="auto" w:sz="4" w:space="0"/>
            </w:tcBorders>
            <w:noWrap/>
            <w:vAlign w:val="center"/>
          </w:tcPr>
          <w:p w14:paraId="50C1B323">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43293BCA">
        <w:tblPrEx>
          <w:tblCellMar>
            <w:top w:w="0" w:type="dxa"/>
            <w:left w:w="108" w:type="dxa"/>
            <w:bottom w:w="0" w:type="dxa"/>
            <w:right w:w="108" w:type="dxa"/>
          </w:tblCellMar>
        </w:tblPrEx>
        <w:trPr>
          <w:trHeight w:val="1305"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61FF26D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969" w:type="pct"/>
            <w:tcBorders>
              <w:top w:val="single" w:color="auto" w:sz="4" w:space="0"/>
              <w:left w:val="nil"/>
              <w:bottom w:val="single" w:color="auto" w:sz="4" w:space="0"/>
              <w:right w:val="single" w:color="auto" w:sz="8" w:space="0"/>
            </w:tcBorders>
            <w:noWrap w:val="0"/>
            <w:vAlign w:val="center"/>
          </w:tcPr>
          <w:p w14:paraId="318E734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镇海区招宝山街道宏远路301号仓库1-1</w:t>
            </w:r>
          </w:p>
        </w:tc>
        <w:tc>
          <w:tcPr>
            <w:tcW w:w="509" w:type="pct"/>
            <w:tcBorders>
              <w:top w:val="single" w:color="auto" w:sz="4" w:space="0"/>
              <w:left w:val="nil"/>
              <w:bottom w:val="single" w:color="auto" w:sz="4" w:space="0"/>
              <w:right w:val="single" w:color="auto" w:sz="8" w:space="0"/>
            </w:tcBorders>
            <w:noWrap w:val="0"/>
            <w:vAlign w:val="center"/>
          </w:tcPr>
          <w:p w14:paraId="5E904F0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108C8261">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default" w:ascii="宋体" w:hAnsi="宋体" w:cs="宋体"/>
                <w:color w:val="000000"/>
                <w:kern w:val="0"/>
                <w:sz w:val="21"/>
                <w:szCs w:val="21"/>
                <w:highlight w:val="none"/>
                <w:lang w:val="en-US" w:eastAsia="zh-CN"/>
              </w:rPr>
              <w:t>2029.28</w:t>
            </w:r>
          </w:p>
        </w:tc>
        <w:tc>
          <w:tcPr>
            <w:tcW w:w="713" w:type="pct"/>
            <w:tcBorders>
              <w:top w:val="single" w:color="auto" w:sz="4" w:space="0"/>
              <w:left w:val="nil"/>
              <w:bottom w:val="single" w:color="auto" w:sz="4" w:space="0"/>
              <w:right w:val="single" w:color="auto" w:sz="8" w:space="0"/>
            </w:tcBorders>
            <w:noWrap w:val="0"/>
            <w:vAlign w:val="center"/>
          </w:tcPr>
          <w:p w14:paraId="1FDF5374">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default" w:ascii="宋体" w:hAnsi="宋体" w:cs="宋体"/>
                <w:color w:val="000000"/>
                <w:kern w:val="0"/>
                <w:sz w:val="21"/>
                <w:szCs w:val="21"/>
                <w:highlight w:val="none"/>
                <w:lang w:val="en-US" w:eastAsia="zh-CN" w:bidi="ar"/>
              </w:rPr>
              <w:t>633135.36</w:t>
            </w:r>
          </w:p>
        </w:tc>
        <w:tc>
          <w:tcPr>
            <w:tcW w:w="623" w:type="pct"/>
            <w:tcBorders>
              <w:top w:val="single" w:color="auto" w:sz="4" w:space="0"/>
              <w:left w:val="nil"/>
              <w:bottom w:val="single" w:color="auto" w:sz="4" w:space="0"/>
              <w:right w:val="nil"/>
            </w:tcBorders>
            <w:noWrap w:val="0"/>
            <w:vAlign w:val="center"/>
          </w:tcPr>
          <w:p w14:paraId="3E5DD2BF">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29835CC6">
            <w:pPr>
              <w:widowControl/>
              <w:jc w:val="center"/>
              <w:rPr>
                <w:rFonts w:hint="default" w:ascii="宋体" w:hAnsi="宋体" w:cs="宋体"/>
                <w:color w:val="000000"/>
                <w:kern w:val="0"/>
                <w:sz w:val="21"/>
                <w:szCs w:val="21"/>
                <w:highlight w:val="none"/>
                <w:lang w:val="en-US"/>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08B0DBF8">
            <w:pPr>
              <w:widowControl/>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7B9ED4E9">
        <w:tblPrEx>
          <w:tblCellMar>
            <w:top w:w="0" w:type="dxa"/>
            <w:left w:w="108" w:type="dxa"/>
            <w:bottom w:w="0" w:type="dxa"/>
            <w:right w:w="108" w:type="dxa"/>
          </w:tblCellMar>
        </w:tblPrEx>
        <w:trPr>
          <w:trHeight w:val="1305"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361CEF0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969" w:type="pct"/>
            <w:tcBorders>
              <w:top w:val="single" w:color="auto" w:sz="4" w:space="0"/>
              <w:left w:val="nil"/>
              <w:bottom w:val="single" w:color="auto" w:sz="4" w:space="0"/>
              <w:right w:val="single" w:color="auto" w:sz="8" w:space="0"/>
            </w:tcBorders>
            <w:noWrap w:val="0"/>
            <w:vAlign w:val="center"/>
          </w:tcPr>
          <w:p w14:paraId="5C382F3D">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镇海区招宝山街道宏远路301号仓库1-2</w:t>
            </w:r>
          </w:p>
        </w:tc>
        <w:tc>
          <w:tcPr>
            <w:tcW w:w="509" w:type="pct"/>
            <w:tcBorders>
              <w:top w:val="single" w:color="auto" w:sz="4" w:space="0"/>
              <w:left w:val="nil"/>
              <w:bottom w:val="single" w:color="auto" w:sz="4" w:space="0"/>
              <w:right w:val="single" w:color="auto" w:sz="8" w:space="0"/>
            </w:tcBorders>
            <w:noWrap w:val="0"/>
            <w:vAlign w:val="center"/>
          </w:tcPr>
          <w:p w14:paraId="19E7B91E">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392A87DF">
            <w:pPr>
              <w:pStyle w:val="9"/>
              <w:shd w:val="clear" w:color="auto" w:fill="FFFFFF"/>
              <w:snapToGrid w:val="0"/>
              <w:spacing w:before="0" w:beforeAutospacing="0" w:after="0" w:afterAutospacing="0" w:line="320" w:lineRule="exact"/>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1376.97</w:t>
            </w:r>
          </w:p>
        </w:tc>
        <w:tc>
          <w:tcPr>
            <w:tcW w:w="713" w:type="pct"/>
            <w:tcBorders>
              <w:top w:val="single" w:color="auto" w:sz="4" w:space="0"/>
              <w:left w:val="nil"/>
              <w:bottom w:val="single" w:color="auto" w:sz="4" w:space="0"/>
              <w:right w:val="single" w:color="auto" w:sz="8" w:space="0"/>
            </w:tcBorders>
            <w:noWrap w:val="0"/>
            <w:vAlign w:val="center"/>
          </w:tcPr>
          <w:p w14:paraId="4E90CCF2">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default" w:ascii="宋体" w:hAnsi="宋体" w:cs="宋体"/>
                <w:color w:val="000000"/>
                <w:kern w:val="0"/>
                <w:sz w:val="21"/>
                <w:szCs w:val="21"/>
                <w:highlight w:val="none"/>
                <w:lang w:val="en-US" w:eastAsia="zh-CN" w:bidi="ar"/>
              </w:rPr>
              <w:t>429614.64</w:t>
            </w:r>
          </w:p>
        </w:tc>
        <w:tc>
          <w:tcPr>
            <w:tcW w:w="623" w:type="pct"/>
            <w:tcBorders>
              <w:top w:val="single" w:color="auto" w:sz="4" w:space="0"/>
              <w:left w:val="nil"/>
              <w:bottom w:val="single" w:color="auto" w:sz="4" w:space="0"/>
              <w:right w:val="nil"/>
            </w:tcBorders>
            <w:noWrap w:val="0"/>
            <w:vAlign w:val="center"/>
          </w:tcPr>
          <w:p w14:paraId="19E806AD">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19D269B1">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166FD1B1">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60C3BB65">
        <w:tblPrEx>
          <w:tblCellMar>
            <w:top w:w="0" w:type="dxa"/>
            <w:left w:w="108" w:type="dxa"/>
            <w:bottom w:w="0" w:type="dxa"/>
            <w:right w:w="108" w:type="dxa"/>
          </w:tblCellMar>
        </w:tblPrEx>
        <w:trPr>
          <w:trHeight w:val="1305"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22B8A76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969" w:type="pct"/>
            <w:tcBorders>
              <w:top w:val="single" w:color="auto" w:sz="4" w:space="0"/>
              <w:left w:val="nil"/>
              <w:bottom w:val="single" w:color="auto" w:sz="4" w:space="0"/>
              <w:right w:val="single" w:color="auto" w:sz="8" w:space="0"/>
            </w:tcBorders>
            <w:noWrap w:val="0"/>
            <w:vAlign w:val="center"/>
          </w:tcPr>
          <w:p w14:paraId="2404ED1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镇海区招宝山街道宏远路301号仓库1-3</w:t>
            </w:r>
          </w:p>
        </w:tc>
        <w:tc>
          <w:tcPr>
            <w:tcW w:w="509" w:type="pct"/>
            <w:tcBorders>
              <w:top w:val="single" w:color="auto" w:sz="4" w:space="0"/>
              <w:left w:val="nil"/>
              <w:bottom w:val="single" w:color="auto" w:sz="4" w:space="0"/>
              <w:right w:val="single" w:color="auto" w:sz="8" w:space="0"/>
            </w:tcBorders>
            <w:noWrap w:val="0"/>
            <w:vAlign w:val="center"/>
          </w:tcPr>
          <w:p w14:paraId="0D07A45F">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50285995">
            <w:pPr>
              <w:pStyle w:val="9"/>
              <w:shd w:val="clear" w:color="auto" w:fill="FFFFFF"/>
              <w:snapToGrid w:val="0"/>
              <w:spacing w:before="0" w:beforeAutospacing="0" w:after="0" w:afterAutospacing="0" w:line="320" w:lineRule="exact"/>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647.28</w:t>
            </w:r>
          </w:p>
        </w:tc>
        <w:tc>
          <w:tcPr>
            <w:tcW w:w="713" w:type="pct"/>
            <w:tcBorders>
              <w:top w:val="single" w:color="auto" w:sz="4" w:space="0"/>
              <w:left w:val="nil"/>
              <w:bottom w:val="single" w:color="auto" w:sz="4" w:space="0"/>
              <w:right w:val="single" w:color="auto" w:sz="8" w:space="0"/>
            </w:tcBorders>
            <w:noWrap w:val="0"/>
            <w:vAlign w:val="center"/>
          </w:tcPr>
          <w:p w14:paraId="7585F160">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default" w:ascii="宋体" w:hAnsi="宋体" w:cs="宋体"/>
                <w:color w:val="000000"/>
                <w:kern w:val="0"/>
                <w:sz w:val="21"/>
                <w:szCs w:val="21"/>
                <w:highlight w:val="none"/>
                <w:lang w:val="en-US" w:eastAsia="zh-CN" w:bidi="ar"/>
              </w:rPr>
              <w:t>201951.36</w:t>
            </w:r>
          </w:p>
        </w:tc>
        <w:tc>
          <w:tcPr>
            <w:tcW w:w="623" w:type="pct"/>
            <w:tcBorders>
              <w:top w:val="single" w:color="auto" w:sz="4" w:space="0"/>
              <w:left w:val="nil"/>
              <w:bottom w:val="single" w:color="auto" w:sz="4" w:space="0"/>
              <w:right w:val="nil"/>
            </w:tcBorders>
            <w:noWrap w:val="0"/>
            <w:vAlign w:val="center"/>
          </w:tcPr>
          <w:p w14:paraId="2D5EB8EC">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1C269067">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20945B78">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684C823B">
        <w:tblPrEx>
          <w:tblCellMar>
            <w:top w:w="0" w:type="dxa"/>
            <w:left w:w="108" w:type="dxa"/>
            <w:bottom w:w="0" w:type="dxa"/>
            <w:right w:w="108" w:type="dxa"/>
          </w:tblCellMar>
        </w:tblPrEx>
        <w:trPr>
          <w:trHeight w:val="1305"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3DDD360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w:t>
            </w:r>
          </w:p>
        </w:tc>
        <w:tc>
          <w:tcPr>
            <w:tcW w:w="969" w:type="pct"/>
            <w:tcBorders>
              <w:top w:val="single" w:color="auto" w:sz="4" w:space="0"/>
              <w:left w:val="nil"/>
              <w:bottom w:val="single" w:color="auto" w:sz="4" w:space="0"/>
              <w:right w:val="single" w:color="auto" w:sz="8" w:space="0"/>
            </w:tcBorders>
            <w:noWrap w:val="0"/>
            <w:vAlign w:val="center"/>
          </w:tcPr>
          <w:p w14:paraId="544727A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镇海区招宝山街道宏远路301号仓库1-4</w:t>
            </w:r>
          </w:p>
        </w:tc>
        <w:tc>
          <w:tcPr>
            <w:tcW w:w="509" w:type="pct"/>
            <w:tcBorders>
              <w:top w:val="single" w:color="auto" w:sz="4" w:space="0"/>
              <w:left w:val="nil"/>
              <w:bottom w:val="single" w:color="auto" w:sz="4" w:space="0"/>
              <w:right w:val="single" w:color="auto" w:sz="8" w:space="0"/>
            </w:tcBorders>
            <w:noWrap w:val="0"/>
            <w:vAlign w:val="center"/>
          </w:tcPr>
          <w:p w14:paraId="149D1A19">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03D48FFB">
            <w:pPr>
              <w:pStyle w:val="9"/>
              <w:shd w:val="clear" w:color="auto" w:fill="FFFFFF"/>
              <w:snapToGrid w:val="0"/>
              <w:spacing w:before="0" w:beforeAutospacing="0" w:after="0" w:afterAutospacing="0" w:line="320" w:lineRule="exact"/>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1851.07</w:t>
            </w:r>
          </w:p>
        </w:tc>
        <w:tc>
          <w:tcPr>
            <w:tcW w:w="713" w:type="pct"/>
            <w:tcBorders>
              <w:top w:val="single" w:color="auto" w:sz="4" w:space="0"/>
              <w:left w:val="nil"/>
              <w:bottom w:val="single" w:color="auto" w:sz="4" w:space="0"/>
              <w:right w:val="single" w:color="auto" w:sz="8" w:space="0"/>
            </w:tcBorders>
            <w:noWrap w:val="0"/>
            <w:vAlign w:val="center"/>
          </w:tcPr>
          <w:p w14:paraId="087EC9C5">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default" w:ascii="宋体" w:hAnsi="宋体" w:cs="宋体"/>
                <w:color w:val="000000"/>
                <w:kern w:val="0"/>
                <w:sz w:val="21"/>
                <w:szCs w:val="21"/>
                <w:highlight w:val="none"/>
                <w:lang w:val="en-US" w:eastAsia="zh-CN" w:bidi="ar"/>
              </w:rPr>
              <w:t>577533.84</w:t>
            </w:r>
          </w:p>
        </w:tc>
        <w:tc>
          <w:tcPr>
            <w:tcW w:w="623" w:type="pct"/>
            <w:tcBorders>
              <w:top w:val="single" w:color="auto" w:sz="4" w:space="0"/>
              <w:left w:val="nil"/>
              <w:bottom w:val="single" w:color="auto" w:sz="4" w:space="0"/>
              <w:right w:val="nil"/>
            </w:tcBorders>
            <w:noWrap w:val="0"/>
            <w:vAlign w:val="center"/>
          </w:tcPr>
          <w:p w14:paraId="2EB2A3E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7BD9A625">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58B47810">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34C07F70">
        <w:tblPrEx>
          <w:tblCellMar>
            <w:top w:w="0" w:type="dxa"/>
            <w:left w:w="108" w:type="dxa"/>
            <w:bottom w:w="0" w:type="dxa"/>
            <w:right w:w="108" w:type="dxa"/>
          </w:tblCellMar>
        </w:tblPrEx>
        <w:trPr>
          <w:trHeight w:val="1305" w:hRule="atLeast"/>
        </w:trPr>
        <w:tc>
          <w:tcPr>
            <w:tcW w:w="460" w:type="pct"/>
            <w:tcBorders>
              <w:top w:val="single" w:color="auto" w:sz="4" w:space="0"/>
              <w:left w:val="single" w:color="auto" w:sz="8" w:space="0"/>
              <w:bottom w:val="single" w:color="auto" w:sz="4" w:space="0"/>
              <w:right w:val="single" w:color="auto" w:sz="8" w:space="0"/>
            </w:tcBorders>
            <w:noWrap w:val="0"/>
            <w:vAlign w:val="center"/>
          </w:tcPr>
          <w:p w14:paraId="21BE4117">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w:t>
            </w:r>
          </w:p>
        </w:tc>
        <w:tc>
          <w:tcPr>
            <w:tcW w:w="969" w:type="pct"/>
            <w:tcBorders>
              <w:top w:val="single" w:color="auto" w:sz="4" w:space="0"/>
              <w:left w:val="nil"/>
              <w:bottom w:val="single" w:color="auto" w:sz="4" w:space="0"/>
              <w:right w:val="single" w:color="auto" w:sz="8" w:space="0"/>
            </w:tcBorders>
            <w:noWrap w:val="0"/>
            <w:vAlign w:val="center"/>
          </w:tcPr>
          <w:p w14:paraId="2E98190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镇海区招宝山街道宏远路301号仓库1-5</w:t>
            </w:r>
          </w:p>
        </w:tc>
        <w:tc>
          <w:tcPr>
            <w:tcW w:w="509" w:type="pct"/>
            <w:tcBorders>
              <w:top w:val="single" w:color="auto" w:sz="4" w:space="0"/>
              <w:left w:val="nil"/>
              <w:bottom w:val="single" w:color="auto" w:sz="4" w:space="0"/>
              <w:right w:val="single" w:color="auto" w:sz="8" w:space="0"/>
            </w:tcBorders>
            <w:noWrap w:val="0"/>
            <w:vAlign w:val="center"/>
          </w:tcPr>
          <w:p w14:paraId="2F9512A8">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774D59A6">
            <w:pPr>
              <w:pStyle w:val="9"/>
              <w:shd w:val="clear" w:color="auto" w:fill="FFFFFF"/>
              <w:snapToGrid w:val="0"/>
              <w:spacing w:before="0" w:beforeAutospacing="0" w:after="0" w:afterAutospacing="0" w:line="320" w:lineRule="exact"/>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874.50</w:t>
            </w:r>
          </w:p>
        </w:tc>
        <w:tc>
          <w:tcPr>
            <w:tcW w:w="713" w:type="pct"/>
            <w:tcBorders>
              <w:top w:val="single" w:color="auto" w:sz="4" w:space="0"/>
              <w:left w:val="nil"/>
              <w:bottom w:val="single" w:color="auto" w:sz="4" w:space="0"/>
              <w:right w:val="single" w:color="auto" w:sz="8" w:space="0"/>
            </w:tcBorders>
            <w:noWrap w:val="0"/>
            <w:vAlign w:val="center"/>
          </w:tcPr>
          <w:p w14:paraId="761E0C35">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default" w:ascii="宋体" w:hAnsi="宋体" w:cs="宋体"/>
                <w:color w:val="000000"/>
                <w:kern w:val="0"/>
                <w:sz w:val="21"/>
                <w:szCs w:val="21"/>
                <w:highlight w:val="none"/>
                <w:lang w:val="en-US" w:eastAsia="zh-CN" w:bidi="ar"/>
              </w:rPr>
              <w:t>272844</w:t>
            </w:r>
          </w:p>
        </w:tc>
        <w:tc>
          <w:tcPr>
            <w:tcW w:w="623" w:type="pct"/>
            <w:tcBorders>
              <w:top w:val="single" w:color="auto" w:sz="4" w:space="0"/>
              <w:left w:val="nil"/>
              <w:bottom w:val="single" w:color="auto" w:sz="4" w:space="0"/>
              <w:right w:val="nil"/>
            </w:tcBorders>
            <w:noWrap w:val="0"/>
            <w:vAlign w:val="center"/>
          </w:tcPr>
          <w:p w14:paraId="7F6927B7">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6DB0DEAC">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016CE451">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bl>
    <w:p w14:paraId="153BCBAB">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keepNext w:val="0"/>
        <w:keepLines w:val="0"/>
        <w:pageBreakBefore w:val="0"/>
        <w:numPr>
          <w:ilvl w:val="0"/>
          <w:numId w:val="1"/>
        </w:numPr>
        <w:kinsoku/>
        <w:wordWrap/>
        <w:overflowPunct/>
        <w:topLinePunct w:val="0"/>
        <w:autoSpaceDE/>
        <w:autoSpaceDN/>
        <w:bidi w:val="0"/>
        <w:adjustRightInd/>
        <w:spacing w:line="360" w:lineRule="auto"/>
        <w:ind w:left="0" w:right="0" w:firstLine="482" w:firstLineChars="200"/>
        <w:textAlignment w:val="auto"/>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标的使用须符合仓库标准的法律法规进行使用，不得违法转租。</w:t>
      </w:r>
      <w:bookmarkStart w:id="1" w:name="_GoBack"/>
      <w:bookmarkEnd w:id="1"/>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keepNext w:val="0"/>
        <w:keepLines w:val="0"/>
        <w:pageBreakBefore w:val="0"/>
        <w:numPr>
          <w:ilvl w:val="0"/>
          <w:numId w:val="1"/>
        </w:numPr>
        <w:kinsoku/>
        <w:wordWrap/>
        <w:overflowPunct/>
        <w:topLinePunct w:val="0"/>
        <w:autoSpaceDE/>
        <w:autoSpaceDN/>
        <w:bidi w:val="0"/>
        <w:adjustRightInd/>
        <w:spacing w:line="360" w:lineRule="auto"/>
        <w:ind w:left="0" w:right="0" w:firstLine="482" w:firstLineChars="200"/>
        <w:textAlignment w:val="auto"/>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16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keepNext w:val="0"/>
        <w:keepLines w:val="0"/>
        <w:pageBreakBefore w:val="0"/>
        <w:kinsoku/>
        <w:wordWrap/>
        <w:overflowPunct/>
        <w:topLinePunct w:val="0"/>
        <w:autoSpaceDE/>
        <w:autoSpaceDN/>
        <w:bidi w:val="0"/>
        <w:adjustRightInd/>
        <w:spacing w:line="360" w:lineRule="auto"/>
        <w:ind w:left="0" w:right="0" w:firstLine="464" w:firstLineChars="200"/>
        <w:jc w:val="left"/>
        <w:textAlignment w:val="auto"/>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cs="宋体"/>
          <w:color w:val="000000"/>
          <w:sz w:val="24"/>
          <w:szCs w:val="24"/>
          <w:lang w:val="en-US" w:eastAsia="zh-CN"/>
        </w:rPr>
        <w:t>约</w:t>
      </w:r>
      <w:r>
        <w:rPr>
          <w:rFonts w:hint="eastAsia" w:ascii="宋体" w:hAnsi="宋体" w:eastAsia="宋体" w:cs="宋体"/>
          <w:color w:val="000000"/>
          <w:sz w:val="24"/>
          <w:szCs w:val="24"/>
        </w:rPr>
        <w:t>为年租金的20%</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keepNext w:val="0"/>
        <w:keepLines w:val="0"/>
        <w:pageBreakBefore w:val="0"/>
        <w:kinsoku/>
        <w:wordWrap/>
        <w:overflowPunct/>
        <w:topLinePunct w:val="0"/>
        <w:autoSpaceDE/>
        <w:autoSpaceDN/>
        <w:bidi w:val="0"/>
        <w:adjustRightInd/>
        <w:spacing w:line="360" w:lineRule="auto"/>
        <w:ind w:left="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0" w:firstLineChars="200"/>
        <w:jc w:val="both"/>
        <w:textAlignment w:val="auto"/>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p>
    <w:p w14:paraId="427E1A08">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lang w:val="en-US" w:eastAsia="zh-CN"/>
        </w:rPr>
        <w:t xml:space="preserve">    合同编号：</w:t>
      </w:r>
      <w:r>
        <w:rPr>
          <w:rFonts w:hint="eastAsia" w:ascii="仿宋" w:hAnsi="仿宋" w:eastAsia="仿宋" w:cs="仿宋"/>
          <w:color w:val="auto"/>
          <w:sz w:val="32"/>
          <w:szCs w:val="32"/>
          <w:lang w:eastAsia="zh-CN"/>
        </w:rPr>
        <w:t xml:space="preserve"> </w:t>
      </w:r>
      <w:r>
        <w:rPr>
          <w:rFonts w:hint="eastAsia" w:ascii="仿宋_GB2312" w:hAnsi="仿宋_GB2312" w:eastAsia="仿宋_GB2312" w:cs="仿宋_GB2312"/>
          <w:color w:val="auto"/>
          <w:sz w:val="32"/>
          <w:szCs w:val="32"/>
          <w:lang w:eastAsia="zh-CN"/>
        </w:rPr>
        <w:t xml:space="preserve">     </w:t>
      </w:r>
    </w:p>
    <w:p w14:paraId="68C4850F">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方正小标宋简体" w:hAnsi="方正小标宋简体" w:eastAsia="方正小标宋简体" w:cs="Helvetica"/>
          <w:bCs/>
          <w:color w:val="auto"/>
          <w:sz w:val="44"/>
          <w:szCs w:val="44"/>
          <w:lang w:eastAsia="zh-CN" w:bidi="ar"/>
        </w:rPr>
      </w:pPr>
    </w:p>
    <w:p w14:paraId="68E2E8EA">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宋体" w:hAnsi="宋体" w:eastAsia="宋体" w:cs="宋体"/>
          <w:b/>
          <w:bCs w:val="0"/>
          <w:color w:val="auto"/>
          <w:sz w:val="44"/>
          <w:szCs w:val="44"/>
          <w:lang w:eastAsia="zh-CN" w:bidi="ar"/>
        </w:rPr>
      </w:pPr>
      <w:r>
        <w:rPr>
          <w:rFonts w:hint="eastAsia" w:ascii="宋体" w:hAnsi="宋体" w:eastAsia="宋体" w:cs="宋体"/>
          <w:b/>
          <w:bCs w:val="0"/>
          <w:color w:val="auto"/>
          <w:sz w:val="44"/>
          <w:szCs w:val="44"/>
          <w:lang w:eastAsia="zh-CN" w:bidi="ar"/>
        </w:rPr>
        <w:t>房屋（</w:t>
      </w:r>
      <w:r>
        <w:rPr>
          <w:rFonts w:hint="eastAsia" w:ascii="宋体" w:hAnsi="宋体" w:eastAsia="宋体" w:cs="宋体"/>
          <w:b/>
          <w:bCs w:val="0"/>
          <w:color w:val="auto"/>
          <w:sz w:val="44"/>
          <w:szCs w:val="44"/>
          <w:lang w:val="en-US" w:eastAsia="zh-CN" w:bidi="ar"/>
        </w:rPr>
        <w:t>仓库</w:t>
      </w:r>
      <w:r>
        <w:rPr>
          <w:rFonts w:hint="eastAsia" w:ascii="宋体" w:hAnsi="宋体" w:eastAsia="宋体" w:cs="宋体"/>
          <w:b/>
          <w:bCs w:val="0"/>
          <w:color w:val="auto"/>
          <w:sz w:val="44"/>
          <w:szCs w:val="44"/>
          <w:lang w:eastAsia="zh-CN" w:bidi="ar"/>
        </w:rPr>
        <w:t>）租赁合同</w:t>
      </w:r>
    </w:p>
    <w:p w14:paraId="3E26D76E">
      <w:pPr>
        <w:keepNext w:val="0"/>
        <w:keepLines w:val="0"/>
        <w:pageBreakBefore w:val="0"/>
        <w:widowControl w:val="0"/>
        <w:kinsoku/>
        <w:wordWrap/>
        <w:overflowPunct/>
        <w:topLinePunct w:val="0"/>
        <w:autoSpaceDE/>
        <w:autoSpaceDN/>
        <w:bidi w:val="0"/>
        <w:adjustRightInd w:val="0"/>
        <w:snapToGrid w:val="0"/>
        <w:spacing w:line="360" w:lineRule="auto"/>
        <w:ind w:left="0"/>
        <w:textAlignment w:val="bottom"/>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p w14:paraId="3FD1471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b/>
          <w:bCs/>
          <w:color w:val="auto"/>
          <w:sz w:val="32"/>
          <w:szCs w:val="32"/>
          <w:lang w:val="en-US" w:eastAsia="zh-CN"/>
        </w:rPr>
      </w:pPr>
      <w:r>
        <w:rPr>
          <w:rFonts w:hint="eastAsia" w:ascii="仿宋_GB2312" w:hAnsi="仿宋" w:eastAsia="仿宋_GB2312"/>
          <w:b/>
          <w:bCs/>
          <w:color w:val="auto"/>
          <w:sz w:val="32"/>
          <w:szCs w:val="32"/>
          <w:lang w:val="en-US" w:eastAsia="zh-CN"/>
        </w:rPr>
        <w:t>出租方：</w:t>
      </w:r>
    </w:p>
    <w:p w14:paraId="05B05FC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（以下简称甲方）</w:t>
      </w:r>
    </w:p>
    <w:p w14:paraId="096DC87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78A73CD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71730E97">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53C1AC1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p>
    <w:p w14:paraId="3AD56AA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b/>
          <w:bCs/>
          <w:color w:val="auto"/>
          <w:sz w:val="32"/>
          <w:szCs w:val="32"/>
          <w:lang w:val="en-US" w:eastAsia="zh-CN"/>
        </w:rPr>
        <w:t>承租方：</w:t>
      </w:r>
      <w:r>
        <w:rPr>
          <w:rFonts w:hint="eastAsia" w:ascii="仿宋_GB2312" w:hAnsi="仿宋" w:eastAsia="仿宋_GB2312"/>
          <w:color w:val="auto"/>
          <w:sz w:val="32"/>
          <w:szCs w:val="32"/>
          <w:lang w:val="en-US" w:eastAsia="zh-CN"/>
        </w:rPr>
        <w:t xml:space="preserve">             </w:t>
      </w:r>
    </w:p>
    <w:p w14:paraId="53195C71">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乙</w:t>
      </w:r>
      <w:r>
        <w:rPr>
          <w:rFonts w:hint="eastAsia" w:ascii="仿宋_GB2312" w:hAnsi="仿宋" w:eastAsia="仿宋_GB2312"/>
          <w:color w:val="auto"/>
          <w:sz w:val="32"/>
          <w:szCs w:val="32"/>
          <w:lang w:eastAsia="zh-CN"/>
        </w:rPr>
        <w:t xml:space="preserve">方）                                 </w:t>
      </w:r>
    </w:p>
    <w:p w14:paraId="0A61967A">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统一社会信用代码:</w:t>
      </w:r>
    </w:p>
    <w:p w14:paraId="7B11D888">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地址：</w:t>
      </w:r>
    </w:p>
    <w:p w14:paraId="6C7FE5F9">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39F4276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558EB284">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第一条 资产基本情况</w:t>
      </w:r>
    </w:p>
    <w:p w14:paraId="02E3E33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p>
    <w:p w14:paraId="1AB1E3C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平方米（附权证证明）。</w:t>
      </w:r>
    </w:p>
    <w:p w14:paraId="7B2D785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（二）装修、设备情况：</w:t>
      </w:r>
    </w:p>
    <w:p w14:paraId="5FFB0BF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u w:val="single"/>
          <w:lang w:val="en-US" w:eastAsia="zh-CN"/>
        </w:rPr>
      </w:pPr>
      <w:r>
        <w:rPr>
          <w:rFonts w:hint="eastAsia" w:ascii="仿宋_GB2312" w:hAnsi="仿宋" w:eastAsia="仿宋_GB2312"/>
          <w:color w:val="auto"/>
          <w:sz w:val="32"/>
          <w:szCs w:val="32"/>
          <w:u w:val="single"/>
          <w:lang w:val="en-US" w:eastAsia="zh-CN"/>
        </w:rPr>
        <w:t>水电设施齐全，其它按现状交付</w:t>
      </w:r>
      <w:r>
        <w:rPr>
          <w:rFonts w:hint="eastAsia" w:ascii="仿宋_GB2312" w:hAnsi="仿宋" w:eastAsia="仿宋_GB2312"/>
          <w:color w:val="auto"/>
          <w:sz w:val="32"/>
          <w:szCs w:val="32"/>
          <w:u w:val="single"/>
          <w:lang w:eastAsia="zh-CN"/>
        </w:rPr>
        <w:t xml:space="preserve">     </w:t>
      </w:r>
      <w:r>
        <w:rPr>
          <w:rFonts w:hint="eastAsia" w:ascii="仿宋_GB2312" w:hAnsi="仿宋" w:eastAsia="仿宋_GB2312"/>
          <w:b/>
          <w:bCs/>
          <w:color w:val="auto"/>
          <w:sz w:val="32"/>
          <w:szCs w:val="32"/>
          <w:u w:val="none"/>
          <w:lang w:eastAsia="zh-CN"/>
        </w:rPr>
        <w:t xml:space="preserve">            </w:t>
      </w:r>
      <w:r>
        <w:rPr>
          <w:rFonts w:hint="eastAsia" w:ascii="仿宋_GB2312" w:hAnsi="仿宋" w:eastAsia="仿宋_GB2312"/>
          <w:b/>
          <w:bCs/>
          <w:color w:val="auto"/>
          <w:sz w:val="32"/>
          <w:szCs w:val="32"/>
          <w:u w:val="none"/>
          <w:lang w:val="en-US" w:eastAsia="zh-CN"/>
        </w:rPr>
        <w:t xml:space="preserve">   </w:t>
      </w:r>
    </w:p>
    <w:p w14:paraId="49C978F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6B4AE2A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3CCEFC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第二条 资产用途</w:t>
      </w:r>
    </w:p>
    <w:p w14:paraId="79A0A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存放</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193B7D79">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第三条 租赁期限</w:t>
      </w:r>
    </w:p>
    <w:p w14:paraId="052B3BDE">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hint="eastAsia" w:ascii="仿宋_GB2312" w:hAnsi="仿宋" w:eastAsia="仿宋_GB2312"/>
          <w:color w:val="auto"/>
          <w:sz w:val="32"/>
          <w:szCs w:val="32"/>
          <w:u w:val="single"/>
          <w:lang w:val="en-US" w:eastAsia="zh-CN"/>
        </w:rPr>
      </w:pPr>
      <w:r>
        <w:rPr>
          <w:rFonts w:hint="eastAsia" w:ascii="仿宋_GB2312" w:hAnsi="仿宋" w:eastAsia="仿宋_GB2312"/>
          <w:color w:val="auto"/>
          <w:sz w:val="32"/>
          <w:szCs w:val="32"/>
          <w:lang w:eastAsia="zh-CN"/>
        </w:rPr>
        <w:t>（一）租赁期限</w:t>
      </w:r>
      <w:r>
        <w:rPr>
          <w:rFonts w:hint="eastAsia" w:ascii="仿宋_GB2312" w:hAnsi="仿宋" w:eastAsia="仿宋_GB2312"/>
          <w:color w:val="auto"/>
          <w:sz w:val="32"/>
          <w:szCs w:val="32"/>
          <w:u w:val="single"/>
          <w:lang w:val="en-US" w:eastAsia="zh-CN"/>
        </w:rPr>
        <w:t xml:space="preserve">   年</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p>
    <w:p w14:paraId="338D0F21">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日为装修期，免收租金）。</w:t>
      </w:r>
    </w:p>
    <w:p w14:paraId="5C55EE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79FF412">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第四条 租赁履约保证金</w:t>
      </w:r>
    </w:p>
    <w:p w14:paraId="3DE2776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（一）为保证合同的履行，乙方在订立合同</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在5个工作日内</w:t>
      </w:r>
      <w:r>
        <w:rPr>
          <w:rFonts w:hint="eastAsia" w:ascii="仿宋_GB2312" w:hAnsi="仿宋" w:eastAsia="仿宋_GB2312"/>
          <w:color w:val="auto"/>
          <w:sz w:val="32"/>
          <w:szCs w:val="32"/>
          <w:lang w:eastAsia="zh-CN"/>
        </w:rPr>
        <w:t>无息退还乙方。</w:t>
      </w:r>
    </w:p>
    <w:p w14:paraId="0E428EF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0F8377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1、租金及其他费用；</w:t>
      </w:r>
    </w:p>
    <w:p w14:paraId="1F2D60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2、乙方及其相关人员过错造成甲方的损失（包括但不限于甲方因乙方违约行为遭受的政府部门的处罚及名誉商誉损失等）；</w:t>
      </w:r>
    </w:p>
    <w:p w14:paraId="0C4165F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3、乙方依据本合同支付的违约金、赔偿损失等。</w:t>
      </w:r>
    </w:p>
    <w:p w14:paraId="18F006E9">
      <w:pPr>
        <w:keepNext w:val="0"/>
        <w:keepLines w:val="0"/>
        <w:widowControl/>
        <w:suppressLineNumbers w:val="0"/>
        <w:ind w:firstLine="640" w:firstLineChars="200"/>
        <w:jc w:val="lef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w:t>
      </w:r>
      <w:r>
        <w:rPr>
          <w:rFonts w:ascii="仿宋_GB2312" w:hAnsi="宋体" w:eastAsia="仿宋_GB2312" w:cs="仿宋_GB2312"/>
          <w:color w:val="000000"/>
          <w:kern w:val="0"/>
          <w:sz w:val="31"/>
          <w:szCs w:val="31"/>
          <w:lang w:val="en-US" w:eastAsia="zh-CN" w:bidi="ar"/>
        </w:rPr>
        <w:t>如履约保证金不足以支付上述费用，甲方有权就不</w:t>
      </w:r>
      <w:r>
        <w:rPr>
          <w:rFonts w:hint="eastAsia" w:ascii="仿宋_GB2312" w:hAnsi="宋体" w:eastAsia="仿宋_GB2312" w:cs="仿宋_GB2312"/>
          <w:color w:val="000000"/>
          <w:kern w:val="0"/>
          <w:sz w:val="31"/>
          <w:szCs w:val="31"/>
          <w:lang w:val="en-US" w:eastAsia="zh-CN" w:bidi="ar"/>
        </w:rPr>
        <w:t>足部分继续向乙方进行追讨。本合同履行过程中，甲方以履约保证金抵扣上述款项后，乙方应在收到催缴通知之日起 10个工作日内补足租赁履约保证金，否则，每延迟一天，按应收额的万分之五支付违约金，超过 20 个工作日的，甲方有权解除本合同并要求乙方赔偿甲方所有损失。</w:t>
      </w:r>
    </w:p>
    <w:p w14:paraId="3E8C4B6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第五条 租金、</w:t>
      </w:r>
      <w:r>
        <w:rPr>
          <w:rFonts w:hint="eastAsia" w:ascii="仿宋" w:hAnsi="仿宋" w:eastAsia="仿宋" w:cs="仿宋"/>
          <w:b/>
          <w:bCs w:val="0"/>
          <w:color w:val="auto"/>
          <w:sz w:val="32"/>
          <w:szCs w:val="32"/>
          <w:lang w:val="en-US" w:eastAsia="zh-CN" w:bidi="ar-SA"/>
        </w:rPr>
        <w:t>物业费</w:t>
      </w:r>
      <w:r>
        <w:rPr>
          <w:rFonts w:hint="eastAsia" w:ascii="仿宋" w:hAnsi="仿宋" w:eastAsia="仿宋" w:cs="仿宋"/>
          <w:b/>
          <w:bCs w:val="0"/>
          <w:color w:val="auto"/>
          <w:sz w:val="32"/>
          <w:szCs w:val="32"/>
          <w:lang w:eastAsia="zh-CN" w:bidi="ar-SA"/>
        </w:rPr>
        <w:t>及付款方式</w:t>
      </w:r>
    </w:p>
    <w:p w14:paraId="003B2FB1">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 1、双方约定，租金标准为含税人民币</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元/年,租金按自然年半年支付一次，先付后用。物业费标准为</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元/平方米/月，按自然年半年支付一次。</w:t>
      </w:r>
    </w:p>
    <w:p w14:paraId="5C492BC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具体租金支付周期如下：</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2F26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04F6D036">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2971812D">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09997B25">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66E7E3C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5ECD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85EFB9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0E7C8FD3">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73CA19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CEE9658">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r w14:paraId="5597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6B3FE7B8">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7EB437A9">
            <w:pPr>
              <w:adjustRightInd w:val="0"/>
              <w:snapToGrid w:val="0"/>
              <w:spacing w:line="560" w:lineRule="exact"/>
              <w:rPr>
                <w:rFonts w:hint="default" w:ascii="仿宋_GB2312" w:hAnsi="仿宋" w:eastAsia="仿宋_GB2312"/>
                <w:sz w:val="28"/>
                <w:szCs w:val="28"/>
                <w:lang w:val="en-US" w:eastAsia="zh-CN"/>
              </w:rPr>
            </w:pPr>
          </w:p>
        </w:tc>
        <w:tc>
          <w:tcPr>
            <w:tcW w:w="2876" w:type="dxa"/>
            <w:vAlign w:val="center"/>
          </w:tcPr>
          <w:p w14:paraId="0EF1C435">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1D3ABC8E">
            <w:pPr>
              <w:adjustRightInd w:val="0"/>
              <w:snapToGrid w:val="0"/>
              <w:spacing w:line="560" w:lineRule="exact"/>
              <w:ind w:firstLine="560" w:firstLineChars="200"/>
              <w:rPr>
                <w:rFonts w:hint="default" w:ascii="仿宋_GB2312" w:hAnsi="仿宋" w:eastAsia="仿宋_GB2312"/>
                <w:color w:val="auto"/>
                <w:sz w:val="28"/>
                <w:szCs w:val="28"/>
                <w:highlight w:val="none"/>
                <w:lang w:val="en-US"/>
              </w:rPr>
            </w:pPr>
          </w:p>
        </w:tc>
      </w:tr>
      <w:tr w14:paraId="2282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5B40D158">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第三期</w:t>
            </w:r>
          </w:p>
        </w:tc>
        <w:tc>
          <w:tcPr>
            <w:tcW w:w="2696" w:type="dxa"/>
            <w:vAlign w:val="center"/>
          </w:tcPr>
          <w:p w14:paraId="77584B04">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9E5CF2">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B909373">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44E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45BDD94">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第四期</w:t>
            </w:r>
          </w:p>
        </w:tc>
        <w:tc>
          <w:tcPr>
            <w:tcW w:w="2696" w:type="dxa"/>
            <w:vAlign w:val="center"/>
          </w:tcPr>
          <w:p w14:paraId="78D0BB98">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CCE9F28">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6A6836E">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D1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40CFDC1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第五期</w:t>
            </w:r>
          </w:p>
        </w:tc>
        <w:tc>
          <w:tcPr>
            <w:tcW w:w="2696" w:type="dxa"/>
            <w:vAlign w:val="center"/>
          </w:tcPr>
          <w:p w14:paraId="0D878787">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1D6F02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014F1858">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E78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E51C93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第六期</w:t>
            </w:r>
          </w:p>
        </w:tc>
        <w:tc>
          <w:tcPr>
            <w:tcW w:w="2696" w:type="dxa"/>
            <w:vAlign w:val="center"/>
          </w:tcPr>
          <w:p w14:paraId="25E0E58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2429DE6">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C1847F3">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bl>
    <w:p w14:paraId="51A333DD">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792FF4E0">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5B066E5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sz w:val="28"/>
          <w:szCs w:val="28"/>
          <w:lang w:eastAsia="zh-CN"/>
        </w:rPr>
      </w:pPr>
      <w:r>
        <w:rPr>
          <w:rFonts w:hint="eastAsia" w:ascii="仿宋_GB2312" w:hAnsi="仿宋" w:eastAsia="仿宋_GB2312"/>
          <w:sz w:val="28"/>
          <w:szCs w:val="28"/>
        </w:rPr>
        <w:t>具体</w:t>
      </w:r>
      <w:r>
        <w:rPr>
          <w:rFonts w:hint="eastAsia" w:ascii="仿宋_GB2312" w:hAnsi="仿宋" w:eastAsia="仿宋_GB2312"/>
          <w:sz w:val="28"/>
          <w:szCs w:val="28"/>
          <w:lang w:val="en-US" w:eastAsia="zh-CN"/>
        </w:rPr>
        <w:t>物业费</w:t>
      </w:r>
      <w:r>
        <w:rPr>
          <w:rFonts w:hint="eastAsia" w:ascii="仿宋_GB2312" w:hAnsi="仿宋" w:eastAsia="仿宋_GB2312"/>
          <w:sz w:val="28"/>
          <w:szCs w:val="28"/>
        </w:rPr>
        <w:t>支付周期如下</w:t>
      </w:r>
      <w:r>
        <w:rPr>
          <w:rFonts w:hint="eastAsia" w:ascii="仿宋_GB2312" w:hAnsi="仿宋" w:eastAsia="仿宋_GB2312"/>
          <w:sz w:val="28"/>
          <w:szCs w:val="28"/>
          <w:lang w:eastAsia="zh-CN"/>
        </w:rPr>
        <w:t>：</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4730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6CE3006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07F730B6">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4681AF27">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0A5FD08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43F3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15C3457">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3B67F05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D0E1107">
            <w:pPr>
              <w:adjustRightInd w:val="0"/>
              <w:snapToGrid w:val="0"/>
              <w:spacing w:line="560" w:lineRule="exact"/>
              <w:rPr>
                <w:rFonts w:hint="default" w:ascii="仿宋_GB2312" w:hAnsi="仿宋" w:eastAsia="仿宋_GB2312"/>
                <w:color w:val="auto"/>
                <w:sz w:val="28"/>
                <w:szCs w:val="28"/>
                <w:lang w:val="en-US" w:eastAsia="zh-CN"/>
              </w:rPr>
            </w:pPr>
          </w:p>
        </w:tc>
        <w:tc>
          <w:tcPr>
            <w:tcW w:w="2365" w:type="dxa"/>
            <w:vAlign w:val="center"/>
          </w:tcPr>
          <w:p w14:paraId="7446C50B">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26BB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66E4E7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2BE93C6D">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8078D29">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B2DF163">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6053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DD1042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第三期</w:t>
            </w:r>
          </w:p>
        </w:tc>
        <w:tc>
          <w:tcPr>
            <w:tcW w:w="2696" w:type="dxa"/>
            <w:vAlign w:val="center"/>
          </w:tcPr>
          <w:p w14:paraId="2E0FB88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45547792">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6497251">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2119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9AADE3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第四期</w:t>
            </w:r>
          </w:p>
        </w:tc>
        <w:tc>
          <w:tcPr>
            <w:tcW w:w="2696" w:type="dxa"/>
            <w:vAlign w:val="center"/>
          </w:tcPr>
          <w:p w14:paraId="0EAE704A">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39F247B8">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A3EB14A">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75C9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0CE96D00">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第五期</w:t>
            </w:r>
          </w:p>
        </w:tc>
        <w:tc>
          <w:tcPr>
            <w:tcW w:w="2696" w:type="dxa"/>
            <w:vAlign w:val="center"/>
          </w:tcPr>
          <w:p w14:paraId="085D489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01B3E885">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104FAF89">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3226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BEAD2DA">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第六期</w:t>
            </w:r>
          </w:p>
        </w:tc>
        <w:tc>
          <w:tcPr>
            <w:tcW w:w="2696" w:type="dxa"/>
            <w:vAlign w:val="center"/>
          </w:tcPr>
          <w:p w14:paraId="12CC0EE1">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C315D6">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A66D9DA">
            <w:pPr>
              <w:adjustRightInd w:val="0"/>
              <w:snapToGrid w:val="0"/>
              <w:spacing w:line="560" w:lineRule="exact"/>
              <w:ind w:firstLine="840" w:firstLineChars="300"/>
              <w:rPr>
                <w:rFonts w:hint="default" w:ascii="仿宋_GB2312" w:hAnsi="仿宋" w:eastAsia="仿宋_GB2312"/>
                <w:color w:val="auto"/>
                <w:sz w:val="28"/>
                <w:szCs w:val="28"/>
                <w:lang w:val="en-US" w:eastAsia="zh-CN"/>
              </w:rPr>
            </w:pPr>
          </w:p>
        </w:tc>
      </w:tr>
    </w:tbl>
    <w:p w14:paraId="3BBE2BF4">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lang w:eastAsia="zh-CN"/>
        </w:rPr>
      </w:pPr>
    </w:p>
    <w:p w14:paraId="49A4A5B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6B83D1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名：宁波市镇海区城市物流开发有限公司</w:t>
      </w:r>
    </w:p>
    <w:p w14:paraId="23285C0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开户行：中国建设银行宁波市镇海区支行</w:t>
      </w:r>
    </w:p>
    <w:p w14:paraId="2838719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纳税人识别号：9133021130903162</w:t>
      </w:r>
      <w:r>
        <w:rPr>
          <w:rFonts w:hint="eastAsia" w:ascii="仿宋" w:hAnsi="仿宋" w:eastAsia="仿宋" w:cs="仿宋"/>
          <w:color w:val="auto"/>
          <w:sz w:val="32"/>
          <w:szCs w:val="32"/>
          <w:lang w:eastAsia="zh-CN"/>
        </w:rPr>
        <w:t>2Y</w:t>
      </w:r>
    </w:p>
    <w:p w14:paraId="30542F5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地址：宁波市镇海平海路1188号</w:t>
      </w:r>
    </w:p>
    <w:p w14:paraId="6595433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帐号：33101984036050513724</w:t>
      </w:r>
    </w:p>
    <w:p w14:paraId="050FEFF0">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乙方支付租金后，甲方应当向乙方提供正规税务发票（租金为含税价</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1EE0FA71">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乙方开票信息：</w:t>
      </w:r>
    </w:p>
    <w:p w14:paraId="7D0D78A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公司名称：</w:t>
      </w:r>
    </w:p>
    <w:p w14:paraId="5A28543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纳税人识别号：</w:t>
      </w:r>
    </w:p>
    <w:p w14:paraId="636CAA2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地址：</w:t>
      </w:r>
    </w:p>
    <w:p w14:paraId="48F748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w:t>
      </w:r>
    </w:p>
    <w:p w14:paraId="5AB239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 xml:space="preserve">开户行： </w:t>
      </w:r>
    </w:p>
    <w:p w14:paraId="1804DD7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银行账号：</w:t>
      </w:r>
    </w:p>
    <w:p w14:paraId="04A090EA">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第六条 资产租赁期间的相关费用</w:t>
      </w:r>
    </w:p>
    <w:p w14:paraId="425DE3E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3055C7C2">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租赁资产发生的水电费、燃气费、卫生费、</w:t>
      </w:r>
      <w:r>
        <w:rPr>
          <w:rFonts w:hint="eastAsia" w:ascii="仿宋_GB2312" w:hAnsi="仿宋" w:eastAsia="仿宋_GB2312"/>
          <w:color w:val="auto"/>
          <w:sz w:val="32"/>
          <w:szCs w:val="32"/>
          <w:lang w:val="en-US" w:eastAsia="zh-CN"/>
        </w:rPr>
        <w:t>物业费、</w:t>
      </w:r>
      <w:r>
        <w:rPr>
          <w:rFonts w:hint="eastAsia" w:ascii="仿宋_GB2312" w:hAnsi="仿宋" w:eastAsia="仿宋_GB2312"/>
          <w:color w:val="auto"/>
          <w:sz w:val="32"/>
          <w:szCs w:val="32"/>
          <w:lang w:eastAsia="zh-CN"/>
        </w:rPr>
        <w:t>收视费、互联网费、通讯费、电梯（电梯若产生费用由各层公摊计算）等；</w:t>
      </w:r>
    </w:p>
    <w:p w14:paraId="033934A7">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1CA0D1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271FF69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第七条 甲方的权利与义务</w:t>
      </w:r>
    </w:p>
    <w:p w14:paraId="2C04EF31">
      <w:pPr>
        <w:keepNext w:val="0"/>
        <w:keepLines w:val="0"/>
        <w:pageBreakBefore w:val="0"/>
        <w:numPr>
          <w:ilvl w:val="0"/>
          <w:numId w:val="5"/>
        </w:numPr>
        <w:kinsoku/>
        <w:wordWrap/>
        <w:overflowPunct/>
        <w:topLinePunct w:val="0"/>
        <w:autoSpaceDE/>
        <w:autoSpaceDN/>
        <w:bidi w:val="0"/>
        <w:adjustRightInd w:val="0"/>
        <w:snapToGrid w:val="0"/>
        <w:spacing w:line="560" w:lineRule="exact"/>
        <w:ind w:firstLine="64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甲方不得无故解除合同。因政策性拆迁或不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及利益</w:t>
      </w:r>
      <w:r>
        <w:rPr>
          <w:rFonts w:hint="eastAsia" w:ascii="仿宋_GB2312" w:hAnsi="仿宋" w:eastAsia="仿宋_GB2312"/>
          <w:color w:val="auto"/>
          <w:sz w:val="32"/>
          <w:szCs w:val="32"/>
          <w:lang w:eastAsia="zh-CN"/>
        </w:rPr>
        <w:t>由甲方享有，但法律、法规规定可由乙方享有的除外。</w:t>
      </w:r>
    </w:p>
    <w:p w14:paraId="6DCE8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（二）若乙方未经甲方同意擅自直接或变相转租、转让的，或擅自改变资产用途的,或违反国家法律、法规从事非法经营，或其他损害公共利益的，甲方有权解除合同，</w:t>
      </w:r>
      <w:r>
        <w:rPr>
          <w:rFonts w:ascii="仿宋_GB2312" w:hAnsi="仿宋" w:eastAsia="仿宋_GB2312"/>
          <w:color w:val="auto"/>
          <w:sz w:val="32"/>
          <w:szCs w:val="32"/>
          <w:lang w:eastAsia="zh-CN"/>
        </w:rPr>
        <w:t>并</w:t>
      </w:r>
      <w:r>
        <w:rPr>
          <w:rFonts w:hint="eastAsia" w:ascii="仿宋_GB2312" w:hAnsi="仿宋" w:eastAsia="仿宋_GB2312"/>
          <w:color w:val="auto"/>
          <w:sz w:val="32"/>
          <w:szCs w:val="32"/>
          <w:lang w:eastAsia="zh-CN"/>
        </w:rPr>
        <w:t>要求乙方承担该年度租金30%的违约金</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收回租赁资产，由此产生的一切损失由乙方承担。</w:t>
      </w:r>
    </w:p>
    <w:p w14:paraId="6F8511B3">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第八条 乙方的权利与义务</w:t>
      </w:r>
    </w:p>
    <w:p w14:paraId="419A33B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5169FEE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乙方需装修，应事先征得甲方的同意，按规定须向有关部门审批的，则还应由甲方报请有关部门批准后，方可进行。</w:t>
      </w:r>
    </w:p>
    <w:p w14:paraId="390FFD63">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同意，乙方不得擅自转租、转让，不得将所租资产作任何形式的抵押或担保，资产租赁期间房屋(土地)维修养护等费用由乙方负责，同时乙方必须保持房屋(土地)整体结构不受破坏，擅自拆改结构或改变用途造成损失的由乙方赔偿损失。未经甲方同意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无条件无偿归甲方所有，甲方也不对此做任何补偿。乙方不得拆除所有不动产部分（包括装潢部分），乙方</w:t>
      </w:r>
      <w:r>
        <w:rPr>
          <w:rFonts w:ascii="仿宋_GB2312" w:hAnsi="仿宋" w:eastAsia="仿宋_GB2312"/>
          <w:color w:val="auto"/>
          <w:sz w:val="32"/>
          <w:szCs w:val="32"/>
          <w:lang w:eastAsia="zh-CN"/>
        </w:rPr>
        <w:t>添附</w:t>
      </w:r>
      <w:r>
        <w:rPr>
          <w:rFonts w:hint="eastAsia" w:ascii="仿宋_GB2312" w:hAnsi="仿宋" w:eastAsia="仿宋_GB2312"/>
          <w:color w:val="auto"/>
          <w:sz w:val="32"/>
          <w:szCs w:val="32"/>
          <w:lang w:eastAsia="zh-CN"/>
        </w:rPr>
        <w:t>的活动物品、设备，由乙方自行处理。租赁期满，若乙方改变原甲方交付乙方时的房屋(土地)现状的，乙方交还租赁资产时应按甲方要求恢复资产原状，乙方应予以遵从并承担恢复原状费用。</w:t>
      </w:r>
    </w:p>
    <w:p w14:paraId="5813114E">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乙方在经营过程中，由于乙方原因造成第三人财产损失、人身损害或其他侵权的，由乙方自行承担相应的责任与赔偿，若甲方因此遭受损失的，乙方还应承担赔偿责任。</w:t>
      </w:r>
    </w:p>
    <w:p w14:paraId="73927CAD">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租赁期间，乙方应负责做好消防、安全、卫生等工作，甲方有权予以督促。</w:t>
      </w:r>
    </w:p>
    <w:p w14:paraId="688747FA">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1A0A5F9D">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（七）乙方若要终止租赁关系，须提前叁个月书面通知甲方。未提前三个月告知的应当向甲方支付一个月的租金作为违约金，有其他违约情形的还应承担相应违约责任。</w:t>
      </w:r>
    </w:p>
    <w:p w14:paraId="0208DB80">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第九条 租赁期满</w:t>
      </w:r>
    </w:p>
    <w:p w14:paraId="6E1FBD95">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租赁期满后，本合同即终止，乙方应</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合同终止</w:t>
      </w:r>
      <w:r>
        <w:rPr>
          <w:rFonts w:ascii="仿宋_GB2312" w:hAnsi="仿宋" w:eastAsia="仿宋_GB2312"/>
          <w:color w:val="auto"/>
          <w:sz w:val="32"/>
          <w:szCs w:val="32"/>
          <w:lang w:eastAsia="zh-CN"/>
        </w:rPr>
        <w:t>当日</w:t>
      </w:r>
      <w:r>
        <w:rPr>
          <w:rFonts w:hint="eastAsia" w:ascii="仿宋_GB2312" w:hAnsi="仿宋" w:eastAsia="仿宋_GB2312"/>
          <w:color w:val="auto"/>
          <w:sz w:val="32"/>
          <w:szCs w:val="32"/>
          <w:lang w:eastAsia="zh-CN"/>
        </w:rPr>
        <w:t>将租赁资产</w:t>
      </w:r>
      <w:r>
        <w:rPr>
          <w:rFonts w:ascii="仿宋_GB2312" w:hAnsi="仿宋" w:eastAsia="仿宋_GB2312"/>
          <w:color w:val="auto"/>
          <w:sz w:val="32"/>
          <w:szCs w:val="32"/>
          <w:lang w:eastAsia="zh-CN"/>
        </w:rPr>
        <w:t>腾退并交还给</w:t>
      </w:r>
      <w:r>
        <w:rPr>
          <w:rFonts w:hint="eastAsia" w:ascii="仿宋_GB2312" w:hAnsi="仿宋" w:eastAsia="仿宋_GB2312"/>
          <w:color w:val="auto"/>
          <w:sz w:val="32"/>
          <w:szCs w:val="32"/>
          <w:lang w:eastAsia="zh-CN"/>
        </w:rPr>
        <w:t>甲方</w:t>
      </w:r>
      <w:r>
        <w:rPr>
          <w:rFonts w:ascii="仿宋_GB2312" w:hAnsi="仿宋" w:eastAsia="仿宋_GB2312"/>
          <w:color w:val="auto"/>
          <w:sz w:val="32"/>
          <w:szCs w:val="32"/>
          <w:lang w:eastAsia="zh-CN"/>
        </w:rPr>
        <w:t>验收，</w:t>
      </w:r>
      <w:r>
        <w:rPr>
          <w:rFonts w:hint="eastAsia" w:ascii="仿宋_GB2312" w:hAnsi="仿宋" w:eastAsia="仿宋_GB2312"/>
          <w:color w:val="auto"/>
          <w:sz w:val="32"/>
          <w:szCs w:val="32"/>
          <w:lang w:eastAsia="zh-CN"/>
        </w:rPr>
        <w:t>否则，甲方可采用停水、停电等强制性措施；乙方逾期</w:t>
      </w:r>
      <w:r>
        <w:rPr>
          <w:rFonts w:ascii="仿宋_GB2312" w:hAnsi="仿宋" w:eastAsia="仿宋_GB2312"/>
          <w:color w:val="auto"/>
          <w:sz w:val="32"/>
          <w:szCs w:val="32"/>
          <w:lang w:eastAsia="zh-CN"/>
        </w:rPr>
        <w:t>腾退</w:t>
      </w:r>
      <w:r>
        <w:rPr>
          <w:rFonts w:hint="eastAsia" w:ascii="仿宋_GB2312" w:hAnsi="仿宋" w:eastAsia="仿宋_GB2312"/>
          <w:color w:val="auto"/>
          <w:sz w:val="32"/>
          <w:szCs w:val="32"/>
          <w:lang w:eastAsia="zh-CN"/>
        </w:rPr>
        <w:t>交还租赁资产期间按原租金三倍向甲方支付违约金。如</w:t>
      </w:r>
      <w:r>
        <w:rPr>
          <w:rFonts w:ascii="仿宋_GB2312" w:hAnsi="仿宋" w:eastAsia="仿宋_GB2312"/>
          <w:color w:val="auto"/>
          <w:sz w:val="32"/>
          <w:szCs w:val="32"/>
          <w:lang w:eastAsia="zh-CN"/>
        </w:rPr>
        <w:t>逾期未腾退</w:t>
      </w:r>
      <w:r>
        <w:rPr>
          <w:rFonts w:hint="eastAsia" w:ascii="仿宋_GB2312" w:hAnsi="仿宋" w:eastAsia="仿宋_GB2312"/>
          <w:color w:val="auto"/>
          <w:sz w:val="32"/>
          <w:szCs w:val="32"/>
          <w:lang w:eastAsia="zh-CN"/>
        </w:rPr>
        <w:t>，乙方遗留的所有财物作为乙方的遗弃物无偿归甲方所有，由甲方自行处理。</w:t>
      </w:r>
    </w:p>
    <w:p w14:paraId="790F4DFB">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0A51BF86">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第十条 违约责任</w:t>
      </w:r>
    </w:p>
    <w:p w14:paraId="3AB0522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172C16C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（二）合同期内，未经双方协商一致乙方需提前解除/终止本合同或未按协议约定时间通知甲方即解除的，甲方有权不退还乙方剩余租金、没收乙方的全部履约保证金并要求乙方支付违约金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BD31DE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2C44039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未经甲方同意，乙方如果擅自转租或擅自改变资产用途的,或违反国家法律、法规从事非法经营，或其他损害公共利益的，则甲方有权解除本合同、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F59E0B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（五）退租前,乙方应将房屋打扫干净,清理屋内垃圾及杂物、恢复原状,否则视为乙方违约，如乙方违约，要求乙方支付违约金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673F720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00474B6E">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（七）因乙方违约，甲方为追索赔偿而支付的律师费、公证费、保全费、担保费和差旅费等费用均由乙方承担。</w:t>
      </w:r>
    </w:p>
    <w:p w14:paraId="67DB9522">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（八）在合同有效期内，如遇到不可抗力因素，致使合同无法履行，双方互不承担责任，所产生的经济损失由双方各自承担，如遇租赁资产拆迁、征用等政府行为的，一方无须向另一方承担违约责任或赔偿责任。</w:t>
      </w:r>
    </w:p>
    <w:p w14:paraId="5ADC22F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（九）租赁期内或者乙方实际占用期间，乙方存在违约行为，经甲方通知后拒不纠正的，甲方有权经事先通知乙方后，采取停水停电等形式，直至乙方纠正其违约行为，而无需向乙方承担任何责任。</w:t>
      </w:r>
    </w:p>
    <w:p w14:paraId="01E156D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十）凡乙方未全面遵守《出租资产安全协议》规定的安全责任内容或对检查中发现的安全隐患不及时整改的，甲方有权采取：包括但不限于解除本合同、不退还乙方剩余租金、没收乙方全部履约保证金、要求乙方支付违约金</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万元、采取停水停电措施至乙方同意按约履行或整改时止等措施。乙方应当按照本合同约定或者告知书约定承担违约责任。</w:t>
      </w:r>
    </w:p>
    <w:p w14:paraId="4633E48B">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第十一条 争议处理方式</w:t>
      </w:r>
    </w:p>
    <w:p w14:paraId="0D558D2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1E33457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5026795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14EE3FD1">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第十二条 其他</w:t>
      </w:r>
    </w:p>
    <w:p w14:paraId="5754180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183024F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本合同须经甲乙双方签字并盖章后生效。</w:t>
      </w:r>
    </w:p>
    <w:p w14:paraId="078ADAE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文首所载双方联系信息为双方接收文书资料（含司法程序中文书资料）的指定地址，如有变更应书面通知对方，否则相关文书资料纸质版，快递发出后两日视为送达；电子方式发出的，发出即视为送达。</w:t>
      </w:r>
    </w:p>
    <w:p w14:paraId="08037114">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6F888F49">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17A723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.出租资产权证证明</w:t>
      </w:r>
    </w:p>
    <w:p w14:paraId="662E4C95">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.出租资产安全协议</w:t>
      </w:r>
    </w:p>
    <w:p w14:paraId="2AAF569C">
      <w:pPr>
        <w:keepNext w:val="0"/>
        <w:keepLines w:val="0"/>
        <w:pageBreakBefore w:val="0"/>
        <w:kinsoku/>
        <w:wordWrap/>
        <w:overflowPunct/>
        <w:topLinePunct w:val="0"/>
        <w:autoSpaceDE/>
        <w:autoSpaceDN/>
        <w:bidi w:val="0"/>
        <w:adjustRightInd w:val="0"/>
        <w:snapToGrid w:val="0"/>
        <w:spacing w:line="560" w:lineRule="exact"/>
        <w:ind w:right="-309" w:rightChars="-147"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.乙方（法人代表）身份证复印件、营业执照复印件</w:t>
      </w:r>
    </w:p>
    <w:p w14:paraId="411055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2A6B83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E46B34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                  法定代表人：</w:t>
      </w:r>
    </w:p>
    <w:p w14:paraId="45A5B1A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签订地址：                    签订地址：</w:t>
      </w:r>
    </w:p>
    <w:p w14:paraId="518199BB">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                    联系电话：</w:t>
      </w:r>
    </w:p>
    <w:p w14:paraId="3E34677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委托代理人：                  委托代理人：</w:t>
      </w:r>
    </w:p>
    <w:p w14:paraId="71F2849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身份证号码：                  身份证号码：</w:t>
      </w:r>
    </w:p>
    <w:p w14:paraId="029774F1">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776406E">
      <w:pPr>
        <w:keepNext w:val="0"/>
        <w:keepLines w:val="0"/>
        <w:pageBreakBefore w:val="0"/>
        <w:widowControl/>
        <w:kinsoku/>
        <w:wordWrap/>
        <w:overflowPunct/>
        <w:topLinePunct w:val="0"/>
        <w:autoSpaceDE/>
        <w:autoSpaceDN/>
        <w:bidi w:val="0"/>
        <w:spacing w:line="560" w:lineRule="exact"/>
        <w:jc w:val="center"/>
        <w:textAlignment w:val="bottom"/>
        <w:rPr>
          <w:rFonts w:hint="eastAsia" w:ascii="宋体" w:hAnsi="宋体" w:eastAsia="宋体" w:cs="宋体"/>
          <w:b/>
          <w:bCs/>
          <w:color w:val="auto"/>
          <w:sz w:val="44"/>
          <w:szCs w:val="44"/>
          <w:lang w:eastAsia="zh-CN"/>
        </w:rPr>
      </w:pPr>
      <w:r>
        <w:rPr>
          <w:rFonts w:ascii="仿宋" w:hAnsi="仿宋" w:eastAsia="仿宋" w:cs="仿宋"/>
          <w:color w:val="auto"/>
          <w:sz w:val="32"/>
          <w:szCs w:val="32"/>
          <w:lang w:eastAsia="zh-CN"/>
        </w:rPr>
        <w:br w:type="page"/>
      </w:r>
      <w:r>
        <w:rPr>
          <w:rFonts w:hint="eastAsia" w:ascii="宋体" w:hAnsi="宋体" w:eastAsia="宋体" w:cs="宋体"/>
          <w:b/>
          <w:bCs/>
          <w:color w:val="auto"/>
          <w:sz w:val="44"/>
          <w:szCs w:val="44"/>
          <w:lang w:eastAsia="zh-CN"/>
        </w:rPr>
        <w:t>出租资产安全协议</w:t>
      </w:r>
    </w:p>
    <w:p w14:paraId="106A7D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57EB35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宋体" w:hAnsi="宋体" w:eastAsia="宋体" w:cs="宋体"/>
          <w:b/>
          <w:bCs w:val="0"/>
          <w:color w:val="auto"/>
          <w:sz w:val="32"/>
          <w:szCs w:val="32"/>
          <w:lang w:eastAsia="zh-CN"/>
        </w:rPr>
      </w:pPr>
      <w:r>
        <w:rPr>
          <w:rFonts w:hint="eastAsia" w:ascii="仿宋_GB2312" w:hAnsi="仿宋" w:eastAsia="仿宋_GB2312"/>
          <w:color w:val="auto"/>
          <w:sz w:val="32"/>
          <w:szCs w:val="32"/>
          <w:lang w:eastAsia="zh-CN"/>
        </w:rPr>
        <w:t>承租方：</w:t>
      </w:r>
    </w:p>
    <w:p w14:paraId="4383F2E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6E15663A">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一、安全责任</w:t>
      </w:r>
    </w:p>
    <w:p w14:paraId="298ACB5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DC7D3AE">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二、安全责任内容</w:t>
      </w:r>
    </w:p>
    <w:p w14:paraId="12423B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780F281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310B5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030055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010693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321939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311A1B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9AF76C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4EB73F2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11CF122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6531CD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w:t>
      </w:r>
      <w:r>
        <w:rPr>
          <w:rFonts w:hint="eastAsia" w:ascii="仿宋_GB2312" w:hAnsi="仿宋" w:eastAsia="仿宋_GB2312"/>
          <w:color w:val="auto"/>
          <w:sz w:val="32"/>
          <w:szCs w:val="32"/>
          <w:lang w:val="en-US" w:eastAsia="zh-CN"/>
        </w:rPr>
        <w:t>除</w:t>
      </w:r>
      <w:r>
        <w:rPr>
          <w:rFonts w:hint="eastAsia" w:ascii="仿宋_GB2312" w:hAnsi="仿宋" w:eastAsia="仿宋_GB2312"/>
          <w:color w:val="auto"/>
          <w:sz w:val="32"/>
          <w:szCs w:val="32"/>
          <w:lang w:eastAsia="zh-CN"/>
        </w:rPr>
        <w:t>合同，并由乙方根据租赁合同的约定承担合同解除的对应责任。</w:t>
      </w:r>
    </w:p>
    <w:p w14:paraId="300541ED">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三、其他</w:t>
      </w:r>
    </w:p>
    <w:p w14:paraId="5CBDAA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1CF976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3FE3AA7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43373276">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797CF336">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DF366EE">
      <w:pPr>
        <w:adjustRightInd w:val="0"/>
        <w:snapToGrid w:val="0"/>
        <w:spacing w:line="560" w:lineRule="exact"/>
        <w:rPr>
          <w:rFonts w:hint="eastAsia" w:ascii="仿宋" w:hAnsi="仿宋" w:eastAsia="仿宋" w:cs="仿宋"/>
          <w:sz w:val="28"/>
          <w:szCs w:val="28"/>
        </w:rPr>
      </w:pP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C1FBEF-E305-4E31-83DC-8A63811995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66409B10-AC91-42AE-BD08-A08C59C5651B}"/>
  </w:font>
  <w:font w:name="仿宋_GB2312">
    <w:panose1 w:val="02010609030101010101"/>
    <w:charset w:val="86"/>
    <w:family w:val="modern"/>
    <w:pitch w:val="default"/>
    <w:sig w:usb0="00000001" w:usb1="080E0000" w:usb2="00000000" w:usb3="00000000" w:csb0="00040000" w:csb1="00000000"/>
    <w:embedRegular r:id="rId3" w:fontKey="{A219009C-4F6B-413E-8EFA-A0AC1EE5DD70}"/>
  </w:font>
  <w:font w:name="仿宋">
    <w:panose1 w:val="02010609060101010101"/>
    <w:charset w:val="86"/>
    <w:family w:val="auto"/>
    <w:pitch w:val="default"/>
    <w:sig w:usb0="800002BF" w:usb1="38CF7CFA" w:usb2="00000016" w:usb3="00000000" w:csb0="00040001" w:csb1="00000000"/>
    <w:embedRegular r:id="rId4" w:fontKey="{12E3DA3D-88FB-4FAF-8971-AD5AD32271ED}"/>
  </w:font>
  <w:font w:name="方正小标宋简体">
    <w:panose1 w:val="02000000000000000000"/>
    <w:charset w:val="86"/>
    <w:family w:val="auto"/>
    <w:pitch w:val="default"/>
    <w:sig w:usb0="00000001" w:usb1="08000000" w:usb2="00000000" w:usb3="00000000" w:csb0="00040000" w:csb1="00000000"/>
    <w:embedRegular r:id="rId5" w:fontKey="{8B0AB286-51FE-489A-8890-98F73575F8BE}"/>
  </w:font>
  <w:font w:name="Helvetica">
    <w:altName w:val="Arial"/>
    <w:panose1 w:val="020B0604020202020204"/>
    <w:charset w:val="00"/>
    <w:family w:val="swiss"/>
    <w:pitch w:val="default"/>
    <w:sig w:usb0="00000000" w:usb1="00000000" w:usb2="00000000" w:usb3="00000000" w:csb0="00000001" w:csb1="00000000"/>
    <w:embedRegular r:id="rId6" w:fontKey="{D91551FB-B417-4AA0-88D9-68D7506623FF}"/>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D07A4ACF"/>
    <w:multiLevelType w:val="singleLevel"/>
    <w:tmpl w:val="D07A4ACF"/>
    <w:lvl w:ilvl="0" w:tentative="0">
      <w:start w:val="3"/>
      <w:numFmt w:val="chineseCounting"/>
      <w:suff w:val="nothing"/>
      <w:lvlText w:val="（%1）"/>
      <w:lvlJc w:val="left"/>
      <w:rPr>
        <w:rFonts w:hint="eastAsia"/>
      </w:rPr>
    </w:lvl>
  </w:abstractNum>
  <w:abstractNum w:abstractNumId="4">
    <w:nsid w:val="1C1BE68C"/>
    <w:multiLevelType w:val="singleLevel"/>
    <w:tmpl w:val="1C1BE68C"/>
    <w:lvl w:ilvl="0" w:tentative="0">
      <w:start w:val="1"/>
      <w:numFmt w:val="decimal"/>
      <w:suff w:val="nothing"/>
      <w:lvlText w:val="%1、"/>
      <w:lvlJc w:val="left"/>
    </w:lvl>
  </w:abstractNum>
  <w:abstractNum w:abstractNumId="5">
    <w:nsid w:val="24808933"/>
    <w:multiLevelType w:val="singleLevel"/>
    <w:tmpl w:val="24808933"/>
    <w:lvl w:ilvl="0" w:tentative="0">
      <w:start w:val="1"/>
      <w:numFmt w:val="chineseCounting"/>
      <w:suff w:val="nothing"/>
      <w:lvlText w:val="（%1）"/>
      <w:lvlJc w:val="left"/>
      <w:rPr>
        <w:rFonts w:hint="eastAsia"/>
        <w:strike w:val="0"/>
      </w:rPr>
    </w:lvl>
  </w:abstractNum>
  <w:abstractNum w:abstractNumId="6">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6"/>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E90844"/>
    <w:rsid w:val="024141DC"/>
    <w:rsid w:val="033F0504"/>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DDC17EF"/>
    <w:rsid w:val="0E032C8D"/>
    <w:rsid w:val="0E8A515C"/>
    <w:rsid w:val="0E8C4620"/>
    <w:rsid w:val="0F45621F"/>
    <w:rsid w:val="0F9E7DA0"/>
    <w:rsid w:val="0FBC7DA7"/>
    <w:rsid w:val="0FE32D76"/>
    <w:rsid w:val="10447EAA"/>
    <w:rsid w:val="115B6701"/>
    <w:rsid w:val="13E40E6B"/>
    <w:rsid w:val="143C660E"/>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1751354"/>
    <w:rsid w:val="21956F66"/>
    <w:rsid w:val="22771AD7"/>
    <w:rsid w:val="228A7081"/>
    <w:rsid w:val="236C6787"/>
    <w:rsid w:val="23AB3753"/>
    <w:rsid w:val="23AC639B"/>
    <w:rsid w:val="24FF3D57"/>
    <w:rsid w:val="26A12BEB"/>
    <w:rsid w:val="270E5359"/>
    <w:rsid w:val="27E3461F"/>
    <w:rsid w:val="283F26BC"/>
    <w:rsid w:val="288D4039"/>
    <w:rsid w:val="294001AA"/>
    <w:rsid w:val="29FA0F90"/>
    <w:rsid w:val="2CC24314"/>
    <w:rsid w:val="2EBA6F40"/>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407B3020"/>
    <w:rsid w:val="41704F33"/>
    <w:rsid w:val="41C9151C"/>
    <w:rsid w:val="41D34149"/>
    <w:rsid w:val="41DF4BEC"/>
    <w:rsid w:val="43574906"/>
    <w:rsid w:val="438F64E0"/>
    <w:rsid w:val="43F8665B"/>
    <w:rsid w:val="441E52DF"/>
    <w:rsid w:val="448160DE"/>
    <w:rsid w:val="45392515"/>
    <w:rsid w:val="45B1127B"/>
    <w:rsid w:val="45BE0C6C"/>
    <w:rsid w:val="47571378"/>
    <w:rsid w:val="477261B2"/>
    <w:rsid w:val="49521DF7"/>
    <w:rsid w:val="495C4A24"/>
    <w:rsid w:val="49DB1DED"/>
    <w:rsid w:val="4A687422"/>
    <w:rsid w:val="4A6F4C2B"/>
    <w:rsid w:val="4CCF375F"/>
    <w:rsid w:val="4DB72B71"/>
    <w:rsid w:val="4EFF199E"/>
    <w:rsid w:val="4F4977F9"/>
    <w:rsid w:val="50BB6933"/>
    <w:rsid w:val="51087240"/>
    <w:rsid w:val="517F670C"/>
    <w:rsid w:val="51850890"/>
    <w:rsid w:val="53163C4B"/>
    <w:rsid w:val="53DB6E8D"/>
    <w:rsid w:val="542B3971"/>
    <w:rsid w:val="54A2107A"/>
    <w:rsid w:val="551408A9"/>
    <w:rsid w:val="55401AED"/>
    <w:rsid w:val="561E5C22"/>
    <w:rsid w:val="570B2411"/>
    <w:rsid w:val="578E4942"/>
    <w:rsid w:val="58845F28"/>
    <w:rsid w:val="58CB5722"/>
    <w:rsid w:val="58DF4954"/>
    <w:rsid w:val="58FF53CC"/>
    <w:rsid w:val="59142C25"/>
    <w:rsid w:val="5AD32876"/>
    <w:rsid w:val="5B3752F1"/>
    <w:rsid w:val="5C0E6052"/>
    <w:rsid w:val="5D1A6C78"/>
    <w:rsid w:val="5D2F489D"/>
    <w:rsid w:val="5DA64068"/>
    <w:rsid w:val="5E425E33"/>
    <w:rsid w:val="5F772160"/>
    <w:rsid w:val="5F8C4048"/>
    <w:rsid w:val="60310561"/>
    <w:rsid w:val="60DB227B"/>
    <w:rsid w:val="613227E3"/>
    <w:rsid w:val="613603D1"/>
    <w:rsid w:val="62301A47"/>
    <w:rsid w:val="633839B4"/>
    <w:rsid w:val="63A32D5E"/>
    <w:rsid w:val="63D657AA"/>
    <w:rsid w:val="64A05CB5"/>
    <w:rsid w:val="65A17F37"/>
    <w:rsid w:val="69B0699A"/>
    <w:rsid w:val="69E71C90"/>
    <w:rsid w:val="69FA5E67"/>
    <w:rsid w:val="6B2A277C"/>
    <w:rsid w:val="6C186A79"/>
    <w:rsid w:val="6C5839F1"/>
    <w:rsid w:val="6D5936B8"/>
    <w:rsid w:val="6EC46A44"/>
    <w:rsid w:val="6EE15C81"/>
    <w:rsid w:val="6EF81C00"/>
    <w:rsid w:val="6F280D81"/>
    <w:rsid w:val="70AB7EBB"/>
    <w:rsid w:val="71921832"/>
    <w:rsid w:val="72FD2525"/>
    <w:rsid w:val="74055B36"/>
    <w:rsid w:val="74D3353D"/>
    <w:rsid w:val="750D1C16"/>
    <w:rsid w:val="75545F0B"/>
    <w:rsid w:val="75A629FF"/>
    <w:rsid w:val="75ED062E"/>
    <w:rsid w:val="76A80E7A"/>
    <w:rsid w:val="78FE2B52"/>
    <w:rsid w:val="795D3D1D"/>
    <w:rsid w:val="79F91C98"/>
    <w:rsid w:val="79FD2E0A"/>
    <w:rsid w:val="7A0847C2"/>
    <w:rsid w:val="7A15284A"/>
    <w:rsid w:val="7CEE331F"/>
    <w:rsid w:val="7CF95B25"/>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8772</Words>
  <Characters>9098</Characters>
  <Lines>0</Lines>
  <Paragraphs>0</Paragraphs>
  <TotalTime>0</TotalTime>
  <ScaleCrop>false</ScaleCrop>
  <LinksUpToDate>false</LinksUpToDate>
  <CharactersWithSpaces>9560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2026-06-02T07:39:59Z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